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C3" w:rsidRPr="00B16DC3" w:rsidRDefault="00B16DC3" w:rsidP="00B16DC3">
      <w:pPr>
        <w:pStyle w:val="Heading1"/>
        <w:rPr>
          <w:rtl/>
        </w:rPr>
      </w:pPr>
      <w:r w:rsidRPr="00B16DC3">
        <w:rPr>
          <w:rFonts w:hint="cs"/>
          <w:rtl/>
        </w:rPr>
        <w:t>תהילים מהקדמה לתהילים</w:t>
      </w:r>
    </w:p>
    <w:p w:rsidR="00B16DC3" w:rsidRDefault="00B16DC3" w:rsidP="00B16DC3">
      <w:pPr>
        <w:pStyle w:val="Heading2"/>
        <w:rPr>
          <w:rFonts w:hint="cs"/>
          <w:rtl/>
        </w:rPr>
      </w:pPr>
      <w:r>
        <w:rPr>
          <w:rFonts w:hint="cs"/>
          <w:rtl/>
        </w:rPr>
        <w:t>הרב ציון לוז</w:t>
      </w:r>
    </w:p>
    <w:p w:rsidR="00B16DC3" w:rsidRPr="00B16DC3" w:rsidRDefault="00B16DC3" w:rsidP="00B16DC3">
      <w:pPr>
        <w:rPr>
          <w:rFonts w:hint="cs"/>
          <w:rtl/>
        </w:rPr>
      </w:pPr>
    </w:p>
    <w:p w:rsidR="00B16DC3" w:rsidRPr="00B16DC3" w:rsidRDefault="00B16DC3" w:rsidP="00B16DC3">
      <w:pPr>
        <w:jc w:val="both"/>
        <w:rPr>
          <w:rtl/>
        </w:rPr>
      </w:pPr>
      <w:r w:rsidRPr="00B16DC3">
        <w:rPr>
          <w:rFonts w:hint="cs"/>
          <w:rtl/>
        </w:rPr>
        <w:t>המדרש על הפסוק "יהיו לרצון אמרי פי והגיון ליבי לפניך" מספר שדוד המלך התפלל לפני הקב"ה על ספר תהילים:</w:t>
      </w:r>
    </w:p>
    <w:p w:rsidR="00B16DC3" w:rsidRPr="00B16DC3" w:rsidRDefault="00B16DC3" w:rsidP="00B16DC3">
      <w:pPr>
        <w:ind w:left="720"/>
        <w:jc w:val="both"/>
        <w:rPr>
          <w:rtl/>
        </w:rPr>
      </w:pPr>
      <w:r w:rsidRPr="00B16DC3">
        <w:rPr>
          <w:rFonts w:hint="cs"/>
          <w:rtl/>
        </w:rPr>
        <w:t xml:space="preserve">"ואל יהיו קוראים בהם כקוראים בספרי מירס אלא יהיו קוראים בהם והוגים ונוטלים שכר עליהם כנגעים ואהלות" </w:t>
      </w:r>
    </w:p>
    <w:p w:rsidR="00B16DC3" w:rsidRPr="00B16DC3" w:rsidRDefault="00B16DC3" w:rsidP="00B16DC3">
      <w:pPr>
        <w:jc w:val="both"/>
        <w:rPr>
          <w:rtl/>
        </w:rPr>
      </w:pPr>
      <w:r w:rsidRPr="00B16DC3">
        <w:rPr>
          <w:rFonts w:hint="cs"/>
          <w:rtl/>
        </w:rPr>
        <w:t>דוד המלך התכוון שאת ספר תהילים ילמדו ממש כמו בענייני הלכות מסובכות ולא כקריאת מזמורים בעלמא.</w:t>
      </w:r>
    </w:p>
    <w:p w:rsidR="00B16DC3" w:rsidRPr="00B16DC3" w:rsidRDefault="00B16DC3" w:rsidP="00B16DC3">
      <w:pPr>
        <w:jc w:val="both"/>
        <w:rPr>
          <w:rtl/>
        </w:rPr>
      </w:pPr>
      <w:r w:rsidRPr="00B16DC3">
        <w:rPr>
          <w:rFonts w:hint="cs"/>
          <w:rtl/>
        </w:rPr>
        <w:t>הנפש החיים בשער ד' מעיר על המדרש הזה שלא מצינו שהקב"ה נענה לתפילתו של דוד. אך לעניינו גם הווא אמינא של דוד צריכה לימוד ולכן ברור הדבר שיש צורך לעסוק וללמוד בעיון רב את ספר תהילים .</w:t>
      </w:r>
    </w:p>
    <w:p w:rsidR="00B16DC3" w:rsidRPr="00B16DC3" w:rsidRDefault="00B16DC3" w:rsidP="00B16DC3">
      <w:pPr>
        <w:ind w:left="720"/>
        <w:jc w:val="both"/>
        <w:rPr>
          <w:rtl/>
        </w:rPr>
      </w:pPr>
      <w:r w:rsidRPr="00B16DC3">
        <w:rPr>
          <w:rFonts w:hint="cs"/>
          <w:rtl/>
        </w:rPr>
        <w:t>"אַשְׁרֵי הָאִישׁ אשר לא הָלַךְ</w:t>
      </w:r>
      <w:r w:rsidRPr="00B16DC3">
        <w:rPr>
          <w:rtl/>
        </w:rPr>
        <w:t xml:space="preserve">, </w:t>
      </w:r>
      <w:r w:rsidRPr="00B16DC3">
        <w:rPr>
          <w:rFonts w:hint="cs"/>
          <w:rtl/>
        </w:rPr>
        <w:t>בַּעֲצַת רְשָׁעִים</w:t>
      </w:r>
      <w:r w:rsidRPr="00B16DC3">
        <w:rPr>
          <w:rtl/>
        </w:rPr>
        <w:t>;</w:t>
      </w:r>
    </w:p>
    <w:p w:rsidR="00B16DC3" w:rsidRPr="00B16DC3" w:rsidRDefault="00B16DC3" w:rsidP="00B16DC3">
      <w:pPr>
        <w:ind w:left="720"/>
        <w:jc w:val="both"/>
        <w:rPr>
          <w:rtl/>
        </w:rPr>
      </w:pPr>
      <w:r w:rsidRPr="00B16DC3">
        <w:rPr>
          <w:rFonts w:hint="cs"/>
          <w:rtl/>
        </w:rPr>
        <w:t>וּבְדֶרֶךְ חַטָּאִים</w:t>
      </w:r>
      <w:r w:rsidRPr="00B16DC3">
        <w:rPr>
          <w:rtl/>
        </w:rPr>
        <w:t xml:space="preserve">, </w:t>
      </w:r>
      <w:r w:rsidRPr="00B16DC3">
        <w:rPr>
          <w:rFonts w:hint="cs"/>
          <w:rtl/>
        </w:rPr>
        <w:t>לֹא עָמָד</w:t>
      </w:r>
      <w:r w:rsidRPr="00B16DC3">
        <w:rPr>
          <w:rtl/>
        </w:rPr>
        <w:t xml:space="preserve">, </w:t>
      </w:r>
      <w:r w:rsidRPr="00B16DC3">
        <w:rPr>
          <w:rFonts w:hint="cs"/>
          <w:rtl/>
        </w:rPr>
        <w:t>וּבְמוֹשַׁב לֵצִים</w:t>
      </w:r>
      <w:r w:rsidRPr="00B16DC3">
        <w:rPr>
          <w:rtl/>
        </w:rPr>
        <w:t xml:space="preserve">, </w:t>
      </w:r>
      <w:r w:rsidRPr="00B16DC3">
        <w:rPr>
          <w:rFonts w:hint="cs"/>
          <w:rtl/>
        </w:rPr>
        <w:t>לֹא יָשָׁב</w:t>
      </w:r>
      <w:r w:rsidRPr="00B16DC3">
        <w:rPr>
          <w:rtl/>
        </w:rPr>
        <w:t>.</w:t>
      </w:r>
    </w:p>
    <w:p w:rsidR="00B16DC3" w:rsidRPr="00B16DC3" w:rsidRDefault="00B16DC3" w:rsidP="00B16DC3">
      <w:pPr>
        <w:ind w:left="720"/>
        <w:jc w:val="both"/>
        <w:rPr>
          <w:rtl/>
        </w:rPr>
      </w:pPr>
      <w:r w:rsidRPr="00B16DC3">
        <w:rPr>
          <w:rFonts w:hint="cs"/>
          <w:rtl/>
        </w:rPr>
        <w:t>כִּי אִם בְּתוֹרַת ה'</w:t>
      </w:r>
      <w:r w:rsidRPr="00B16DC3">
        <w:rPr>
          <w:rtl/>
        </w:rPr>
        <w:t xml:space="preserve">, </w:t>
      </w:r>
      <w:r w:rsidRPr="00B16DC3">
        <w:rPr>
          <w:rFonts w:hint="cs"/>
          <w:rtl/>
        </w:rPr>
        <w:t>חֶפְצוֹ</w:t>
      </w:r>
      <w:r w:rsidRPr="00B16DC3">
        <w:rPr>
          <w:rtl/>
        </w:rPr>
        <w:t xml:space="preserve">; </w:t>
      </w:r>
      <w:r w:rsidRPr="00B16DC3">
        <w:rPr>
          <w:rFonts w:hint="cs"/>
          <w:rtl/>
        </w:rPr>
        <w:t>וּבְתוֹרָתוֹ יֶהְגֶּה</w:t>
      </w:r>
      <w:r w:rsidRPr="00B16DC3">
        <w:rPr>
          <w:rtl/>
        </w:rPr>
        <w:t>,</w:t>
      </w:r>
      <w:r w:rsidRPr="00B16DC3">
        <w:rPr>
          <w:rFonts w:hint="cs"/>
          <w:rtl/>
        </w:rPr>
        <w:t>יוֹמָם וָלָיְלָה"</w:t>
      </w:r>
    </w:p>
    <w:p w:rsidR="00B16DC3" w:rsidRPr="00B16DC3" w:rsidRDefault="00B16DC3" w:rsidP="00B16DC3">
      <w:pPr>
        <w:jc w:val="both"/>
        <w:rPr>
          <w:rtl/>
        </w:rPr>
      </w:pPr>
      <w:r w:rsidRPr="00B16DC3">
        <w:rPr>
          <w:rFonts w:hint="cs"/>
          <w:rtl/>
        </w:rPr>
        <w:t xml:space="preserve">סדר המזמורים בתהילים הוא לא סדר הכרונולוגי של התרחשות האירועים בחיי דוד, אפשר להסיק זאת ממזמורים מסוימים שפותחים בתיאור זמן מחיי דוד כגון: "בבוא אליו נתן הנביא כאשר בא אל בת שבע", "בבורחו מפני אבשלום בנו" וכו' </w:t>
      </w:r>
    </w:p>
    <w:p w:rsidR="00B16DC3" w:rsidRPr="00B16DC3" w:rsidRDefault="00B16DC3" w:rsidP="00B16DC3">
      <w:pPr>
        <w:jc w:val="both"/>
        <w:rPr>
          <w:rtl/>
        </w:rPr>
      </w:pPr>
      <w:r w:rsidRPr="00B16DC3">
        <w:rPr>
          <w:rFonts w:hint="cs"/>
          <w:rtl/>
        </w:rPr>
        <w:t>לכאורה לא ברור מדוע נבחר מזמור זה, שבפשט רוצה לומר לנו אשרי הצדיק ואוי לרשע, לפתוח את ספר תהילים?</w:t>
      </w:r>
    </w:p>
    <w:p w:rsidR="00B16DC3" w:rsidRPr="00B16DC3" w:rsidRDefault="00B16DC3" w:rsidP="00B16DC3">
      <w:pPr>
        <w:jc w:val="both"/>
        <w:rPr>
          <w:rtl/>
        </w:rPr>
      </w:pPr>
      <w:r w:rsidRPr="00B16DC3">
        <w:rPr>
          <w:rFonts w:hint="cs"/>
          <w:rtl/>
        </w:rPr>
        <w:t>אךאם נעיין היטב במילות המזמור נראה שזה בכלל לא מדבר על אחד צדיק, לא כתוב אשרי מי שלא הרשיע,אשרי מי שלא התלוצץ, על אחד כזה לא צריך להגיד אשריו, כאן זה מדרגה אחרת זה אדם שלא הלך בעצת רשעים ולא ישב במושב לצים.</w:t>
      </w:r>
    </w:p>
    <w:p w:rsidR="00B16DC3" w:rsidRPr="00B16DC3" w:rsidRDefault="00B16DC3" w:rsidP="00B16DC3">
      <w:pPr>
        <w:jc w:val="both"/>
        <w:rPr>
          <w:rtl/>
        </w:rPr>
      </w:pPr>
      <w:r w:rsidRPr="00B16DC3">
        <w:rPr>
          <w:rFonts w:hint="cs"/>
          <w:rtl/>
        </w:rPr>
        <w:t>ע"מ לרדת לעומק המזמור נתמקד בפסוק מאד מרכזי במזמור:</w:t>
      </w:r>
    </w:p>
    <w:p w:rsidR="00B16DC3" w:rsidRPr="00B16DC3" w:rsidRDefault="00B16DC3" w:rsidP="00B16DC3">
      <w:pPr>
        <w:ind w:left="720"/>
        <w:jc w:val="both"/>
        <w:rPr>
          <w:rtl/>
        </w:rPr>
      </w:pPr>
      <w:r w:rsidRPr="00B16DC3">
        <w:rPr>
          <w:rFonts w:hint="cs"/>
          <w:rtl/>
        </w:rPr>
        <w:t>"כי אם בתורת ה' חפצו ובתורתו יהגה יומם ולילה"</w:t>
      </w:r>
    </w:p>
    <w:p w:rsidR="00B16DC3" w:rsidRPr="00B16DC3" w:rsidRDefault="00B16DC3" w:rsidP="00B16DC3">
      <w:pPr>
        <w:jc w:val="both"/>
        <w:rPr>
          <w:rtl/>
        </w:rPr>
      </w:pPr>
      <w:r w:rsidRPr="00B16DC3">
        <w:rPr>
          <w:rFonts w:hint="cs"/>
          <w:rtl/>
        </w:rPr>
        <w:t>חז"ל לומדים מפסוק זה הלכה שמלך שמחל על כבודו- אין כבודו מחול אבל רב שמחל על כבודו- כבודו מחול. סיבת הדבר היא שמלך קיבל את כבודו מהקב"ה שציווה אותנו "שום תשים עליך מלך"</w:t>
      </w:r>
    </w:p>
    <w:p w:rsidR="00B16DC3" w:rsidRPr="00B16DC3" w:rsidRDefault="00B16DC3" w:rsidP="00B16DC3">
      <w:pPr>
        <w:jc w:val="both"/>
        <w:rPr>
          <w:rtl/>
        </w:rPr>
      </w:pPr>
      <w:r w:rsidRPr="00B16DC3">
        <w:rPr>
          <w:rFonts w:hint="cs"/>
          <w:rtl/>
        </w:rPr>
        <w:t>ולכן אינו יכול למחול על כבוד זה אבל תלמיד חכם אחרי שלמד תורה היא נהפכת לתורה דיליה ולכן יש לו רשות למחול על כבודו. ההדגשה בפסוק היא שקודם כל היא "תורת ה" ואז נהפכת ל"תורתו".</w:t>
      </w:r>
    </w:p>
    <w:p w:rsidR="00B16DC3" w:rsidRPr="00B16DC3" w:rsidRDefault="00B16DC3" w:rsidP="00B16DC3">
      <w:pPr>
        <w:jc w:val="both"/>
        <w:rPr>
          <w:rtl/>
        </w:rPr>
      </w:pPr>
      <w:r w:rsidRPr="00B16DC3">
        <w:rPr>
          <w:rFonts w:hint="cs"/>
          <w:rtl/>
        </w:rPr>
        <w:t>צריך בירור מה ההבדל ביון תחילת הלימוד לסוף הלימוד מדוע בהתחלה היא תורת ה' ובסוף היא תורתו מה נשתנה פתאום?</w:t>
      </w:r>
    </w:p>
    <w:p w:rsidR="00B16DC3" w:rsidRPr="00B16DC3" w:rsidRDefault="00B16DC3" w:rsidP="00B16DC3">
      <w:pPr>
        <w:jc w:val="both"/>
        <w:rPr>
          <w:rtl/>
        </w:rPr>
      </w:pPr>
      <w:r w:rsidRPr="00B16DC3">
        <w:rPr>
          <w:rFonts w:hint="cs"/>
          <w:rtl/>
        </w:rPr>
        <w:t>ר' צדוק מסביר שהתנ"ך מחולק ל 3 חלקים:</w:t>
      </w:r>
    </w:p>
    <w:p w:rsidR="00B16DC3" w:rsidRPr="00B16DC3" w:rsidRDefault="00B16DC3" w:rsidP="00B16DC3">
      <w:pPr>
        <w:jc w:val="both"/>
        <w:rPr>
          <w:rtl/>
        </w:rPr>
      </w:pPr>
      <w:r w:rsidRPr="00B16DC3">
        <w:rPr>
          <w:rFonts w:hint="cs"/>
          <w:b/>
          <w:bCs/>
          <w:rtl/>
        </w:rPr>
        <w:lastRenderedPageBreak/>
        <w:t>תורה</w:t>
      </w:r>
      <w:r w:rsidRPr="00B16DC3">
        <w:rPr>
          <w:rFonts w:hint="cs"/>
          <w:rtl/>
        </w:rPr>
        <w:t xml:space="preserve">- זה החלק הגבוה- נבואת משה רבינו, מסר ישיר מהקב"ה, אומרים חז"ל על משה רבינו "שכינה מדברת מתוך גרונו" לכן משה מדבר בלשון "זה הדבר", </w:t>
      </w:r>
    </w:p>
    <w:p w:rsidR="00B16DC3" w:rsidRPr="00B16DC3" w:rsidRDefault="00B16DC3" w:rsidP="00B16DC3">
      <w:pPr>
        <w:jc w:val="both"/>
        <w:rPr>
          <w:rtl/>
        </w:rPr>
      </w:pPr>
      <w:r w:rsidRPr="00B16DC3">
        <w:rPr>
          <w:rFonts w:hint="cs"/>
          <w:rtl/>
        </w:rPr>
        <w:t>ואילו שאר הנביאים דיברו בלשון "כה אמר" .</w:t>
      </w:r>
    </w:p>
    <w:p w:rsidR="00B16DC3" w:rsidRPr="00B16DC3" w:rsidRDefault="00B16DC3" w:rsidP="00B16DC3">
      <w:pPr>
        <w:jc w:val="both"/>
        <w:rPr>
          <w:rtl/>
        </w:rPr>
      </w:pPr>
      <w:r w:rsidRPr="00B16DC3">
        <w:rPr>
          <w:rFonts w:hint="cs"/>
          <w:b/>
          <w:bCs/>
          <w:rtl/>
        </w:rPr>
        <w:t>נביאים</w:t>
      </w:r>
      <w:r w:rsidRPr="00B16DC3">
        <w:rPr>
          <w:rFonts w:hint="cs"/>
          <w:rtl/>
        </w:rPr>
        <w:t>- זה חלק יותר נמוך מהתורה, "כה אמר" הנביא מקבל את המסר האלוקי מעבד אותו ומעביר אותו הלאה.</w:t>
      </w:r>
    </w:p>
    <w:p w:rsidR="00B16DC3" w:rsidRPr="00B16DC3" w:rsidRDefault="00B16DC3" w:rsidP="00B16DC3">
      <w:pPr>
        <w:jc w:val="both"/>
        <w:rPr>
          <w:rtl/>
        </w:rPr>
      </w:pPr>
      <w:r w:rsidRPr="00B16DC3">
        <w:rPr>
          <w:rFonts w:hint="cs"/>
          <w:b/>
          <w:bCs/>
          <w:rtl/>
        </w:rPr>
        <w:t>כתובים</w:t>
      </w:r>
      <w:r w:rsidRPr="00B16DC3">
        <w:rPr>
          <w:rFonts w:hint="cs"/>
          <w:rtl/>
        </w:rPr>
        <w:t>- זה כבר לא נבואה- זה רוח הקודש, "דוד היה רבן של כל בעלי רוח הקודש כמו שמשה רבינו אביהן של כל הנביאים" (ר' צדוק ע"פ דברי האר"י הקדוש).</w:t>
      </w:r>
    </w:p>
    <w:p w:rsidR="00B16DC3" w:rsidRPr="00B16DC3" w:rsidRDefault="00B16DC3" w:rsidP="00B16DC3">
      <w:pPr>
        <w:jc w:val="both"/>
        <w:rPr>
          <w:rtl/>
        </w:rPr>
      </w:pPr>
    </w:p>
    <w:p w:rsidR="00B16DC3" w:rsidRPr="00B16DC3" w:rsidRDefault="00B16DC3" w:rsidP="00B16DC3">
      <w:pPr>
        <w:jc w:val="both"/>
        <w:rPr>
          <w:rtl/>
        </w:rPr>
      </w:pPr>
      <w:r w:rsidRPr="00B16DC3">
        <w:rPr>
          <w:rFonts w:hint="cs"/>
          <w:rtl/>
        </w:rPr>
        <w:t xml:space="preserve">ההגדרה של רוח הקודש (בניגוד למה שנתפס כיום שזה גילוי עתידות) היא- הצלחה לומר את דבר ה' בלי להיות במדרגה של נביא ואלו חכמי ישראל שבשכלם ובהבנתם הם מכוונים לדבר ה. </w:t>
      </w:r>
    </w:p>
    <w:p w:rsidR="00B16DC3" w:rsidRPr="00B16DC3" w:rsidRDefault="00B16DC3" w:rsidP="00B16DC3">
      <w:pPr>
        <w:jc w:val="both"/>
        <w:rPr>
          <w:rtl/>
        </w:rPr>
      </w:pPr>
      <w:r w:rsidRPr="00B16DC3">
        <w:rPr>
          <w:rFonts w:hint="cs"/>
          <w:rtl/>
        </w:rPr>
        <w:t>איתא בגמ' בב"ב יב. "משחרב ביהמ"ק אע"פ שניטלה נבואה מהנביאים מן החכמים לא ניטלה" אומר הרמב"ן- חכמי ישראל ממשיכים להעביר את דבר ה' ע"י הדעת- ההשכלה- החכמה.</w:t>
      </w:r>
    </w:p>
    <w:p w:rsidR="00B16DC3" w:rsidRPr="00B16DC3" w:rsidRDefault="00B16DC3" w:rsidP="00B16DC3">
      <w:pPr>
        <w:jc w:val="both"/>
        <w:rPr>
          <w:rtl/>
        </w:rPr>
      </w:pPr>
      <w:r w:rsidRPr="00B16DC3">
        <w:rPr>
          <w:rFonts w:hint="cs"/>
          <w:rtl/>
        </w:rPr>
        <w:t>מוסיף ר' צדוק שלא בכדי ספר תהילים פותח את חלק הכתובים של התנ"ך,זה הספר הראשון שהופיע בבחינת תורה שבע"פ וזו ההדרכה מרגע שנגמרו חמשה חומשי תורה.</w:t>
      </w:r>
    </w:p>
    <w:p w:rsidR="00B16DC3" w:rsidRPr="00B16DC3" w:rsidRDefault="00B16DC3" w:rsidP="00B16DC3">
      <w:pPr>
        <w:jc w:val="both"/>
        <w:rPr>
          <w:rtl/>
        </w:rPr>
      </w:pPr>
      <w:r w:rsidRPr="00B16DC3">
        <w:rPr>
          <w:rFonts w:hint="cs"/>
          <w:rtl/>
        </w:rPr>
        <w:t xml:space="preserve">בתפילות מלכויות, זיכרונות ושופרות אנו מצטטים פסוקים מהתנ"ך: "ובתורתך כתוב", "וע"י עבדיך הנביאים כתוב"  "ובדברי </w:t>
      </w:r>
      <w:r w:rsidRPr="00B16DC3">
        <w:rPr>
          <w:rFonts w:hint="cs"/>
          <w:b/>
          <w:bCs/>
          <w:rtl/>
        </w:rPr>
        <w:t>קדשך</w:t>
      </w:r>
      <w:r w:rsidRPr="00B16DC3">
        <w:rPr>
          <w:rFonts w:hint="cs"/>
          <w:rtl/>
        </w:rPr>
        <w:t xml:space="preserve"> כתוב" רואים בבירור שההתייחסות לכתובים בכלל ולתהילים בפרט (שהרי כל הפסוקים המצוטטים בכתובים הם מספר תהילים) היא כאל דברי קודש הנאמרים ברוח קדשם של חכמי ישראל.</w:t>
      </w:r>
    </w:p>
    <w:p w:rsidR="00B16DC3" w:rsidRPr="00B16DC3" w:rsidRDefault="00B16DC3" w:rsidP="00B16DC3">
      <w:pPr>
        <w:jc w:val="both"/>
        <w:rPr>
          <w:rtl/>
        </w:rPr>
      </w:pPr>
      <w:r w:rsidRPr="00B16DC3">
        <w:rPr>
          <w:rFonts w:hint="cs"/>
          <w:rtl/>
        </w:rPr>
        <w:t>יש קשר מאד מעניין בין חמישה חומשי תורה לבין ספר תהילים- ב"יהי רצון" שאומרים אחרי קריאת ספר תהילים כתוב:</w:t>
      </w:r>
      <w:r>
        <w:rPr>
          <w:rFonts w:hint="cs"/>
          <w:rtl/>
        </w:rPr>
        <w:t xml:space="preserve">  </w:t>
      </w:r>
      <w:r w:rsidRPr="00B16DC3">
        <w:rPr>
          <w:rFonts w:hint="cs"/>
          <w:rtl/>
        </w:rPr>
        <w:t>"יהי רצון מלפניך ה' אלהינו ואלוהי אבו</w:t>
      </w:r>
      <w:bookmarkStart w:id="0" w:name="_GoBack"/>
      <w:bookmarkEnd w:id="0"/>
      <w:r w:rsidRPr="00B16DC3">
        <w:rPr>
          <w:rFonts w:hint="cs"/>
          <w:rtl/>
        </w:rPr>
        <w:t>תינו בזכות ספר ראשון</w:t>
      </w:r>
      <w:r w:rsidRPr="00B16DC3">
        <w:rPr>
          <w:rtl/>
        </w:rPr>
        <w:t xml:space="preserve">, </w:t>
      </w:r>
      <w:r w:rsidRPr="00B16DC3">
        <w:rPr>
          <w:rFonts w:hint="cs"/>
          <w:rtl/>
        </w:rPr>
        <w:t>שני</w:t>
      </w:r>
      <w:r w:rsidRPr="00B16DC3">
        <w:rPr>
          <w:rtl/>
        </w:rPr>
        <w:t xml:space="preserve">, </w:t>
      </w:r>
      <w:r w:rsidRPr="00B16DC3">
        <w:rPr>
          <w:rFonts w:hint="cs"/>
          <w:rtl/>
        </w:rPr>
        <w:t>שלישי</w:t>
      </w:r>
      <w:r w:rsidRPr="00B16DC3">
        <w:rPr>
          <w:rtl/>
        </w:rPr>
        <w:t xml:space="preserve">, </w:t>
      </w:r>
      <w:r w:rsidRPr="00B16DC3">
        <w:rPr>
          <w:rFonts w:hint="cs"/>
          <w:rtl/>
        </w:rPr>
        <w:t>רביעי</w:t>
      </w:r>
      <w:r w:rsidRPr="00B16DC3">
        <w:rPr>
          <w:rtl/>
        </w:rPr>
        <w:t xml:space="preserve">, </w:t>
      </w:r>
      <w:r w:rsidRPr="00B16DC3">
        <w:rPr>
          <w:rFonts w:hint="cs"/>
          <w:rtl/>
        </w:rPr>
        <w:t xml:space="preserve">חמישי שבתהלים שקראנו לפניך שהוא </w:t>
      </w:r>
      <w:r w:rsidRPr="00B16DC3">
        <w:rPr>
          <w:rFonts w:hint="cs"/>
          <w:u w:val="single"/>
          <w:rtl/>
        </w:rPr>
        <w:t>כנגד</w:t>
      </w:r>
      <w:r w:rsidRPr="00B16DC3">
        <w:rPr>
          <w:rFonts w:hint="cs"/>
          <w:rtl/>
        </w:rPr>
        <w:t xml:space="preserve"> ספר בראשית</w:t>
      </w:r>
      <w:r w:rsidRPr="00B16DC3">
        <w:rPr>
          <w:rtl/>
        </w:rPr>
        <w:t xml:space="preserve">, </w:t>
      </w:r>
      <w:r w:rsidRPr="00B16DC3">
        <w:rPr>
          <w:rFonts w:hint="cs"/>
          <w:rtl/>
        </w:rPr>
        <w:t>שמות</w:t>
      </w:r>
      <w:r w:rsidRPr="00B16DC3">
        <w:rPr>
          <w:rtl/>
        </w:rPr>
        <w:t xml:space="preserve">, </w:t>
      </w:r>
      <w:r w:rsidRPr="00B16DC3">
        <w:rPr>
          <w:rFonts w:hint="cs"/>
          <w:rtl/>
        </w:rPr>
        <w:t>ויקרא</w:t>
      </w:r>
      <w:r w:rsidRPr="00B16DC3">
        <w:rPr>
          <w:rtl/>
        </w:rPr>
        <w:t xml:space="preserve">, </w:t>
      </w:r>
      <w:r w:rsidRPr="00B16DC3">
        <w:rPr>
          <w:rFonts w:hint="cs"/>
          <w:rtl/>
        </w:rPr>
        <w:t>במדבר</w:t>
      </w:r>
      <w:r w:rsidRPr="00B16DC3">
        <w:rPr>
          <w:rtl/>
        </w:rPr>
        <w:t xml:space="preserve">, </w:t>
      </w:r>
      <w:r w:rsidRPr="00B16DC3">
        <w:rPr>
          <w:rFonts w:hint="cs"/>
          <w:rtl/>
        </w:rPr>
        <w:t>דברים"</w:t>
      </w:r>
    </w:p>
    <w:p w:rsidR="00B16DC3" w:rsidRPr="00B16DC3" w:rsidRDefault="00B16DC3" w:rsidP="00B16DC3">
      <w:pPr>
        <w:jc w:val="both"/>
        <w:rPr>
          <w:rtl/>
        </w:rPr>
      </w:pPr>
      <w:r w:rsidRPr="00B16DC3">
        <w:rPr>
          <w:rFonts w:hint="cs"/>
          <w:rtl/>
        </w:rPr>
        <w:t>רואים בבירור את הקשר בין התורה שבכתב לבין ספר תהילים שמסמל את רוח הקודש ואת דבר ה' שמועבר ע"י חכמי ישראל.</w:t>
      </w:r>
    </w:p>
    <w:p w:rsidR="00B16DC3" w:rsidRPr="00B16DC3" w:rsidRDefault="00B16DC3" w:rsidP="00B16DC3">
      <w:pPr>
        <w:jc w:val="both"/>
        <w:rPr>
          <w:rtl/>
        </w:rPr>
      </w:pPr>
      <w:r w:rsidRPr="00B16DC3">
        <w:rPr>
          <w:rFonts w:hint="cs"/>
          <w:rtl/>
        </w:rPr>
        <w:t>קשר נוסף- בספר תהילים יש 150 פרקים וכן בתורה לפני החלוקה לפרשיות היו סדרים והיו מסיימים את התורה פעם ב 3 שנים ולפי חלוקה זאת היו בתורה 150 סדרים ובכל סוף סדר היו קוראים את הפרק המקביל שלו בספר תהילים.</w:t>
      </w:r>
    </w:p>
    <w:p w:rsidR="00B16DC3" w:rsidRPr="00B16DC3" w:rsidRDefault="00B16DC3" w:rsidP="00B16DC3">
      <w:pPr>
        <w:jc w:val="both"/>
        <w:rPr>
          <w:rtl/>
        </w:rPr>
      </w:pPr>
      <w:r w:rsidRPr="00B16DC3">
        <w:rPr>
          <w:rFonts w:hint="cs"/>
          <w:rtl/>
        </w:rPr>
        <w:t>ובחזרה לפסוק- השלב הראשון זה תורת ה', תורה שבכתב- לספוג תורה. השלב השני זה תורה שבע"פ, תורתו- תורה דיליה,  לכוון לדבר ה' מתוך חכמה.</w:t>
      </w:r>
    </w:p>
    <w:p w:rsidR="00B16DC3" w:rsidRPr="00B16DC3" w:rsidRDefault="00B16DC3" w:rsidP="00B16DC3">
      <w:pPr>
        <w:jc w:val="both"/>
        <w:rPr>
          <w:rtl/>
        </w:rPr>
      </w:pPr>
      <w:r w:rsidRPr="00B16DC3">
        <w:rPr>
          <w:rFonts w:hint="cs"/>
          <w:rtl/>
        </w:rPr>
        <w:t>אך דוד המלך מלמד אותנו במזמור הזה יסוד חשוב- כדי להגיע למדרגה הזאת של רוח הקודש לא מספיקה חכמה בלבד, אדם יכול ללמוד 80 שנה ולא יצליח לכוון לדבר ה'. דוד המלך בתחילת המזמור מלמד אותנו שצריך גם שאורחות חייו ומידותיו של האדם יהיו מתוקנות ,שכל מהותו תהיה נגד רשעות נגד ליצנות, לא מספיק שהוא לא יהיה רשע אלא שבהוויה שלו הוא יהיה רחוק מזה.</w:t>
      </w:r>
    </w:p>
    <w:p w:rsidR="00A01450" w:rsidRDefault="00B16DC3" w:rsidP="00B16DC3">
      <w:pPr>
        <w:jc w:val="both"/>
      </w:pPr>
      <w:r w:rsidRPr="00B16DC3">
        <w:rPr>
          <w:rFonts w:hint="cs"/>
          <w:rtl/>
        </w:rPr>
        <w:t>הגמ' בסוכה כא: אומרת שאפילו שיחתן של ת"ח צריכה לימוד. שואל ר' צדוק למה כתוב "שיחתן" ולא "דברן" ומסביר כל מקום שנאמר ביטוי בלשון זכר על התורה הכוונה לתורה שבכתב ("</w:t>
      </w:r>
      <w:r w:rsidRPr="00B16DC3">
        <w:rPr>
          <w:rFonts w:hint="cs"/>
          <w:b/>
          <w:bCs/>
          <w:rtl/>
        </w:rPr>
        <w:t>זה</w:t>
      </w:r>
      <w:r w:rsidRPr="00B16DC3">
        <w:rPr>
          <w:rFonts w:hint="cs"/>
          <w:rtl/>
        </w:rPr>
        <w:t xml:space="preserve"> הדבר") ואילו כל מקום שנאמר בלשון נקיבה ("זאת") הכוונה לתורה שבע"פ לכן המילה שיחה יותר מתאימה לעניין מאחר שהיא בלשון נקיבה ורומזת לתורה שבעל פה.</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01B" w:rsidRDefault="0029101B" w:rsidP="002A5FE9">
      <w:pPr>
        <w:spacing w:after="0" w:line="240" w:lineRule="auto"/>
      </w:pPr>
      <w:r>
        <w:separator/>
      </w:r>
    </w:p>
  </w:endnote>
  <w:endnote w:type="continuationSeparator" w:id="0">
    <w:p w:rsidR="0029101B" w:rsidRDefault="0029101B"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01B" w:rsidRDefault="0029101B" w:rsidP="002A5FE9">
      <w:pPr>
        <w:spacing w:after="0" w:line="240" w:lineRule="auto"/>
      </w:pPr>
      <w:r>
        <w:separator/>
      </w:r>
    </w:p>
  </w:footnote>
  <w:footnote w:type="continuationSeparator" w:id="0">
    <w:p w:rsidR="0029101B" w:rsidRDefault="0029101B"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C3"/>
    <w:rsid w:val="0029101B"/>
    <w:rsid w:val="002A5FE9"/>
    <w:rsid w:val="00551CD4"/>
    <w:rsid w:val="00650F08"/>
    <w:rsid w:val="00A01450"/>
    <w:rsid w:val="00AD3DE4"/>
    <w:rsid w:val="00B16DC3"/>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16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D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B16D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6D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B16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6D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B16D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6D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4</TotalTime>
  <Pages>2</Pages>
  <Words>715</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2014-01-22T07:44:00Z</dcterms:created>
  <dcterms:modified xsi:type="dcterms:W3CDTF">2014-01-22T07:48:00Z</dcterms:modified>
</cp:coreProperties>
</file>