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33" w:rsidRDefault="00015333" w:rsidP="00015333">
      <w:pPr>
        <w:pStyle w:val="Heading1"/>
        <w:rPr>
          <w:rFonts w:hint="cs"/>
          <w:rtl/>
        </w:rPr>
      </w:pPr>
      <w:r w:rsidRPr="00015333">
        <w:rPr>
          <w:rFonts w:hint="cs"/>
          <w:rtl/>
        </w:rPr>
        <w:t>זאת חוקת התורה</w:t>
      </w:r>
    </w:p>
    <w:p w:rsidR="00015333" w:rsidRDefault="00015333" w:rsidP="00015333">
      <w:pPr>
        <w:pStyle w:val="Heading2"/>
        <w:rPr>
          <w:rFonts w:hint="cs"/>
          <w:rtl/>
        </w:rPr>
      </w:pPr>
      <w:r>
        <w:rPr>
          <w:rFonts w:hint="cs"/>
          <w:rtl/>
        </w:rPr>
        <w:t>ראש הישיבה, הרב מרדכי גרינברג שליט"א</w:t>
      </w:r>
    </w:p>
    <w:p w:rsidR="00015333" w:rsidRPr="00015333" w:rsidRDefault="00015333" w:rsidP="00015333">
      <w:pPr>
        <w:rPr>
          <w:rFonts w:hint="cs"/>
          <w:rtl/>
        </w:rPr>
      </w:pPr>
      <w:bookmarkStart w:id="0" w:name="_GoBack"/>
      <w:bookmarkEnd w:id="0"/>
    </w:p>
    <w:p w:rsidR="00015333" w:rsidRPr="00015333" w:rsidRDefault="00015333" w:rsidP="00015333">
      <w:pPr>
        <w:rPr>
          <w:rFonts w:hint="cs"/>
          <w:rtl/>
        </w:rPr>
      </w:pPr>
      <w:r w:rsidRPr="00015333">
        <w:rPr>
          <w:rFonts w:hint="cs"/>
          <w:rtl/>
        </w:rPr>
        <w:t>פרשת שמיני - פרה ה'תשע"א</w:t>
      </w:r>
    </w:p>
    <w:p w:rsidR="00015333" w:rsidRPr="00015333" w:rsidRDefault="00015333" w:rsidP="00015333">
      <w:pPr>
        <w:jc w:val="both"/>
        <w:rPr>
          <w:rFonts w:hint="cs"/>
          <w:rtl/>
        </w:rPr>
      </w:pPr>
      <w:r w:rsidRPr="00015333">
        <w:rPr>
          <w:rFonts w:hint="cs"/>
          <w:rtl/>
        </w:rPr>
        <w:t xml:space="preserve">השבת נזדמנו ב' פרשיות - שמיני ופרה. הזיקה בין שתי הפרשיות אינה רק משום שהן נקראות באותה שבת, אלא שיש קשר מהותי בין השתים, שהרי בגמ' אמרו (גיטין ס.) שמונה פרשיות נאמרו ביום שהוקם המשכן, היינו ביום השמיני, ואחת מהן היא פרשת פרה. </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t>פרשת פרה לוטה בערפל סמיך, "זאת חוקת התורה". ואמרו שאומה"ע מצערין את ישראל, מה טעם במצווה זו. לפיכך כתב בה חוקה, גזירה היא מלפני ואין לך רשות להרהר אחריה.</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t>והרי נאמר בתורה "ראה לימדתי אתכם חוקים ומשפטים ... ושמרתם ועשיתם כי היא חכמתכם ובינתכם לעיני העמים אשר ישמעון את כל החוקים האלה ואמרו רק עם חכם ונבון הגוי הגדול הזה". מדוע א"כ נאמרו הדברים בלא טעם הסותרים את המגמה הזאת ?</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t>ובאמת יש למצווה זו טעם, ואף ששלמה אמר "כל זאת ניסיתי בחכמה אמרתי אחכמה, והיא רחוקה ממני". ומ"מ נאמר הטעם למשה "ויקחו אליך - לך אני מגלה טעם פרה, אבל לאחר חוקה. דאמר רב הונא כתיב (תהילים ע"ה) כי אקח מועד אני מישרים אשפוט, וכתיב</w:t>
      </w:r>
      <w:r w:rsidRPr="00015333">
        <w:rPr>
          <w:rtl/>
        </w:rPr>
        <w:t xml:space="preserve"> </w:t>
      </w:r>
      <w:r w:rsidRPr="00015333">
        <w:rPr>
          <w:rFonts w:hint="cs"/>
          <w:rtl/>
        </w:rPr>
        <w:t>והיה</w:t>
      </w:r>
      <w:r w:rsidRPr="00015333">
        <w:rPr>
          <w:rtl/>
        </w:rPr>
        <w:t xml:space="preserve"> </w:t>
      </w:r>
      <w:r w:rsidRPr="00015333">
        <w:rPr>
          <w:rFonts w:hint="cs"/>
          <w:rtl/>
        </w:rPr>
        <w:t>ביום</w:t>
      </w:r>
      <w:r w:rsidRPr="00015333">
        <w:rPr>
          <w:rtl/>
        </w:rPr>
        <w:t xml:space="preserve"> </w:t>
      </w:r>
      <w:r w:rsidRPr="00015333">
        <w:rPr>
          <w:rFonts w:hint="cs"/>
          <w:rtl/>
        </w:rPr>
        <w:t>ההוא</w:t>
      </w:r>
      <w:r w:rsidRPr="00015333">
        <w:rPr>
          <w:rtl/>
        </w:rPr>
        <w:t xml:space="preserve"> </w:t>
      </w:r>
      <w:r w:rsidRPr="00015333">
        <w:rPr>
          <w:rFonts w:hint="cs"/>
          <w:rtl/>
        </w:rPr>
        <w:t>לא</w:t>
      </w:r>
      <w:r w:rsidRPr="00015333">
        <w:rPr>
          <w:rtl/>
        </w:rPr>
        <w:t xml:space="preserve"> </w:t>
      </w:r>
      <w:r w:rsidRPr="00015333">
        <w:rPr>
          <w:rFonts w:hint="cs"/>
          <w:rtl/>
        </w:rPr>
        <w:t>יהיה</w:t>
      </w:r>
      <w:r w:rsidRPr="00015333">
        <w:rPr>
          <w:rtl/>
        </w:rPr>
        <w:t xml:space="preserve"> </w:t>
      </w:r>
      <w:r w:rsidRPr="00015333">
        <w:rPr>
          <w:rFonts w:hint="cs"/>
          <w:rtl/>
        </w:rPr>
        <w:t>אור</w:t>
      </w:r>
      <w:r w:rsidRPr="00015333">
        <w:rPr>
          <w:rtl/>
        </w:rPr>
        <w:t xml:space="preserve"> </w:t>
      </w:r>
      <w:r w:rsidRPr="00015333">
        <w:rPr>
          <w:rFonts w:hint="cs"/>
          <w:rtl/>
        </w:rPr>
        <w:t>יקרות</w:t>
      </w:r>
      <w:r w:rsidRPr="00015333">
        <w:rPr>
          <w:rtl/>
        </w:rPr>
        <w:t xml:space="preserve"> </w:t>
      </w:r>
      <w:r w:rsidRPr="00015333">
        <w:rPr>
          <w:rFonts w:hint="cs"/>
          <w:rtl/>
        </w:rPr>
        <w:t>וקפאון</w:t>
      </w:r>
      <w:r w:rsidRPr="00015333">
        <w:rPr>
          <w:rtl/>
        </w:rPr>
        <w:t xml:space="preserve">, </w:t>
      </w:r>
      <w:r w:rsidRPr="00015333">
        <w:rPr>
          <w:rFonts w:hint="cs"/>
          <w:rtl/>
        </w:rPr>
        <w:t>יקפאון</w:t>
      </w:r>
      <w:r w:rsidRPr="00015333">
        <w:rPr>
          <w:rtl/>
        </w:rPr>
        <w:t xml:space="preserve"> </w:t>
      </w:r>
      <w:r w:rsidRPr="00015333">
        <w:rPr>
          <w:rFonts w:hint="cs"/>
          <w:rtl/>
        </w:rPr>
        <w:t>כתיב</w:t>
      </w:r>
      <w:r w:rsidRPr="00015333">
        <w:rPr>
          <w:rtl/>
        </w:rPr>
        <w:t xml:space="preserve">, </w:t>
      </w:r>
      <w:r w:rsidRPr="00015333">
        <w:rPr>
          <w:rFonts w:hint="cs"/>
          <w:rtl/>
        </w:rPr>
        <w:t>דברים</w:t>
      </w:r>
      <w:r w:rsidRPr="00015333">
        <w:rPr>
          <w:rtl/>
        </w:rPr>
        <w:t xml:space="preserve"> </w:t>
      </w:r>
      <w:r w:rsidRPr="00015333">
        <w:rPr>
          <w:rFonts w:hint="cs"/>
          <w:rtl/>
        </w:rPr>
        <w:t>המכוסים</w:t>
      </w:r>
      <w:r w:rsidRPr="00015333">
        <w:rPr>
          <w:rtl/>
        </w:rPr>
        <w:t xml:space="preserve"> </w:t>
      </w:r>
      <w:r w:rsidRPr="00015333">
        <w:rPr>
          <w:rFonts w:hint="cs"/>
          <w:rtl/>
        </w:rPr>
        <w:t>מכם</w:t>
      </w:r>
      <w:r w:rsidRPr="00015333">
        <w:rPr>
          <w:rtl/>
        </w:rPr>
        <w:t xml:space="preserve"> </w:t>
      </w:r>
      <w:r w:rsidRPr="00015333">
        <w:rPr>
          <w:rFonts w:hint="cs"/>
          <w:rtl/>
        </w:rPr>
        <w:t>בעולם</w:t>
      </w:r>
      <w:r w:rsidRPr="00015333">
        <w:rPr>
          <w:rtl/>
        </w:rPr>
        <w:t xml:space="preserve"> </w:t>
      </w:r>
      <w:r w:rsidRPr="00015333">
        <w:rPr>
          <w:rFonts w:hint="cs"/>
          <w:rtl/>
        </w:rPr>
        <w:t>הזה</w:t>
      </w:r>
      <w:r w:rsidRPr="00015333">
        <w:rPr>
          <w:rtl/>
        </w:rPr>
        <w:t xml:space="preserve"> </w:t>
      </w:r>
      <w:r w:rsidRPr="00015333">
        <w:rPr>
          <w:rFonts w:hint="cs"/>
          <w:rtl/>
        </w:rPr>
        <w:t>עתידין</w:t>
      </w:r>
      <w:r w:rsidRPr="00015333">
        <w:rPr>
          <w:rtl/>
        </w:rPr>
        <w:t xml:space="preserve"> </w:t>
      </w:r>
      <w:r w:rsidRPr="00015333">
        <w:rPr>
          <w:rFonts w:hint="cs"/>
          <w:rtl/>
        </w:rPr>
        <w:t>להיות</w:t>
      </w:r>
      <w:r w:rsidRPr="00015333">
        <w:rPr>
          <w:rtl/>
        </w:rPr>
        <w:t xml:space="preserve"> </w:t>
      </w:r>
      <w:r w:rsidRPr="00015333">
        <w:rPr>
          <w:rFonts w:hint="cs"/>
          <w:rtl/>
        </w:rPr>
        <w:t>צפויים</w:t>
      </w:r>
      <w:r w:rsidRPr="00015333">
        <w:rPr>
          <w:rtl/>
        </w:rPr>
        <w:t xml:space="preserve"> </w:t>
      </w:r>
      <w:r w:rsidRPr="00015333">
        <w:rPr>
          <w:rFonts w:hint="cs"/>
          <w:rtl/>
        </w:rPr>
        <w:t>לעולם</w:t>
      </w:r>
      <w:r w:rsidRPr="00015333">
        <w:rPr>
          <w:rtl/>
        </w:rPr>
        <w:t xml:space="preserve"> </w:t>
      </w:r>
      <w:r w:rsidRPr="00015333">
        <w:rPr>
          <w:rFonts w:hint="cs"/>
          <w:rtl/>
        </w:rPr>
        <w:t>הבא". הרי שיש טעם, וכבר נגלה למשה ועתידין לגלותו לעתיד לבוא.</w:t>
      </w:r>
    </w:p>
    <w:p w:rsidR="00015333" w:rsidRPr="00015333" w:rsidRDefault="00015333" w:rsidP="00015333">
      <w:pPr>
        <w:jc w:val="both"/>
        <w:rPr>
          <w:rFonts w:hint="cs"/>
          <w:rtl/>
        </w:rPr>
      </w:pPr>
      <w:r w:rsidRPr="00015333">
        <w:rPr>
          <w:rtl/>
        </w:rPr>
        <w:tab/>
      </w:r>
    </w:p>
    <w:p w:rsidR="00015333" w:rsidRPr="00015333" w:rsidRDefault="00015333" w:rsidP="00015333">
      <w:pPr>
        <w:jc w:val="both"/>
        <w:rPr>
          <w:rFonts w:hint="cs"/>
          <w:rtl/>
        </w:rPr>
      </w:pPr>
      <w:r w:rsidRPr="00015333">
        <w:rPr>
          <w:rFonts w:hint="cs"/>
          <w:rtl/>
        </w:rPr>
        <w:tab/>
        <w:t>עוד יש להבין כפילות המילים "חוקה חקקתי, גזירה גזרתי".</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tab/>
        <w:t>בתחילת הפרשה נאמר לאהרון "קח לך עגל בן בקר". וכ' רש"י וכן שאר המפרשים, "להודיע שמכפר לו הקב"ה ע"י עגל זה על מעשה העגל שעשה". וכך ראוי שבאותו דבר שחטאו בו יתכפר, א"כ מהו העניין הנוסף שפרה מכפרת ?</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t>על כפרת הפרה הביא רש"י את המשל של ר' משה הדרשן אודות בן השפחה שטינף את הפלטרין, אמר המלך, תבוא השפחה ותקנח צואת בנה, כך אמר הקב"ה: תבוא הפרה ותקנח צואת בנה. אלא שיש בזה קושי, שהרי במרה כבר נאמר "שם שם לו חוק ומשפט", אמרו חז"ל שנתן להם פ' כיבוד אב ואם, פ' פרה ושבת. הרי שהפרשה נאמרה עוד לפני העגל. על כרחנו ב' דברים בפרה, עצם פעולת הטהרה מטומאת מת, וזה אכן כבר נאמר במרה, והחוקה שבפרה.</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lastRenderedPageBreak/>
        <w:t>על החוקה שבפרה אמרו בנידה ט. שעל הפרה נאמר המקרא באיוב "מי יתן טהור מטמא לא אחד". אלו מי הנידה שהמזה ומזין עליו טהור והנוגע טמא, וע"ז אמר שלמה אמרתי אחכמה והיא רחוקה ממני.</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t>התורה היא אמנם "חוקים ומשפטים צדיקים", שכולם אומרים "רק עם חכם ונבון הגוי הגדול הזה", ומ"מ יש בתורה דברים שהם למעלה מן השכל האנושי, כדי ללמדנו שהתורה היא אלוקית ולא טבעית אנושית. וע"כ נאמר "זאת חוקת התורה" ולא חוקת הפרה כמו "חוקת הפסח". ללמדנו שהתורה כולה, גם החלקים המובנים, נקראת חוקה.</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t>ודבר זה בא ללמדנו גם על ההנהגה האלוקית, שאנו נפגשים הרבה בדברים קשים כמו צדיק ורע לו ורשע וטוב לו. וכל הנביאים החל ממשה, התריסו בשאלה זו. וע"כ ניתנה לנו פרשה תמוהה ואבסורדית זו, שפרה מטמאת טהורים ומטהרת טמאים, ללמדנו גם על ההנהגה, ושגם בשעת הסתרת פנים וארועים פרדוקסליים, יש השגחה לטובה על עם ישראל.</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t xml:space="preserve">כשעלה משה למרום ומצאו לקב"ה שקושר כתרים לאותיות, ושאלו על כך, ענה לו שעקיבא בן יוסף עתיד לדרוש על כל קוץ וקוץ תילי תילין של הלכות, ותשש כוחו של משה שלא היה יודע מה אומרים ר"ע וחבריו, עד ששאל אחד התלמידים: רבי, מנין לך ? א"ל ר"ע הלכה למשה מסיני, ונתיישבה דעתו. וכשביקש משה לראות שכרו והראה לו שסורקין בשרו של ר"ע ותולין במקולין, זעק משה: זו תורה וזו שכרה ?! א"ל שתוק, כך עלה במחשבה לפני. הרי נזדמנו לפונדק אחד חוסר הבנה של משה בתורה, עם התרסתו על ההנהגה האלוקית </w:t>
      </w:r>
      <w:r w:rsidRPr="00015333">
        <w:rPr>
          <w:rtl/>
        </w:rPr>
        <w:t>–</w:t>
      </w:r>
      <w:r w:rsidRPr="00015333">
        <w:rPr>
          <w:rFonts w:hint="cs"/>
          <w:rtl/>
        </w:rPr>
        <w:t xml:space="preserve"> זו תורה וזו שכרה. והתשובה היתה שכך עלה במחשבה, ונותן התורה שהכתיב בה דברים שמעל לשכל, הוא גם זה שמנהיג את עם ישראל והעולם כולו, בדרך שלמעלה מן השכל.</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t>וזהו שאמרו "חוקה חקקתי, גזירה גזרתי" שהתורה היא חוקה בלתי מובנת שהיא מעל השכל האנושי, כדי שתלמד מזה גם על הגזירות של ההנהגה האלוקית.</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t xml:space="preserve">הזכרנו שבמרה ניתנה פ' פרה ומצוות כיבוד אב ואם. על מצוות כיבוד אב ואם כ' החינוך שחייב אדם ליתן אל לבו כי האב והאם הם סיבת היותו בעולם וע"כ ראוי לכבדם ולא להיות נבל שאינו מכיר טובה. וממשיך, שמזה יבוא להכיר טובה לבורא, שהוא סיבתו וסיבת כל אבותיו ומספק צרכיו ונתן בו נפש משכלת, שאל"כ היה כסוס כפרד אין הבין. (מקור לדברי החינוך ?)    </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t xml:space="preserve">והנה מספרת הגמ' (קידושין לא:) שאבימי היה מכבד מאוד את אביו, ר' אבהו. ויום אחד ביקש אביו כוס משקה ועד שהביא לו, נמנם האב, והמתין הבן כשהכוס בידו עד שהתעורר, ואיסתייעא מילתא ודרש "מזמור לאסף אלוקים באו גויים בנחלתך וכו', קינה לאסף מיבעיא ליה ?! אלא שאמר שירה על שכילה חמתו בעצים ובאבנים, ומתוך כך השאיר לפליטה את עם ישראל. וכ' האדמו"ר מאוזרוב בספרו באר משה (שמיני א') שבתחילה היה נדמה לאבימי, שאביו אינו רוצה יותר בשימושו, אך כשהבין מהי אהבת אב לבן החליט שאין זה משום שנאה או התרחקות. ומזה עלה להבין שאף רבש"ע שאוהב את ישראל, אין התרחקות אלא מהלך שתבוא התקרבות בסופו. וע"כ אמר שירה על חרבן הבית, שאף הדברים הרעים יש להם מגמה אלוקית טובה. ואף הקב"ה כשהוא מתעלם לכאורה </w:t>
      </w:r>
      <w:r w:rsidRPr="00015333">
        <w:rPr>
          <w:rFonts w:hint="cs"/>
          <w:rtl/>
        </w:rPr>
        <w:lastRenderedPageBreak/>
        <w:t>מישראל נראה כאילו ישן, וכמ"ש המן "ישנו עם אחד", כאילו ישן הוא. וכל זה למד וזכה להבין מכיבוד או"א בשעה שהאב מתנמנם.</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t>וזהו שמסיימים בסוף מס' סוטה על הימים של עקבתא דמשיחא "ואין לנו להשען אלא על אבינו שבשמים", שגם בשעות הקשות יש לזכור שיש לנו אב רחום, שאף בשעה שמסתיר פניו, אוהב אותנו.</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t xml:space="preserve">ועל כך באה הפרה לכפר על חטא העגל, "תבוא האם ותקנח צואת בנה", שאמנם על חטא העגל כשלעצמו, די היה העגל תמורת עגל, אך הפרה באה ללמד העיקר הגדול, שהאם מקנחת צואת בנה, שהקב"ה איננו רק אב אלא גם אם </w:t>
      </w:r>
      <w:r w:rsidRPr="00015333">
        <w:rPr>
          <w:rtl/>
        </w:rPr>
        <w:t>–</w:t>
      </w:r>
      <w:r w:rsidRPr="00015333">
        <w:rPr>
          <w:rFonts w:hint="cs"/>
          <w:rtl/>
        </w:rPr>
        <w:t xml:space="preserve"> "כאיש אשר תנחמנו אמו כן אנכי אנחמכם". וכמו שאמר ר' חיים מוולאז'ין שהאם מוכנה לטפל אפילו בצואת בנה, וגם בשעת ארועים פרדוקסליים, המגמה היא אהבה, "ואין לנו רשות להרהר אחריהן".</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t xml:space="preserve">נראה שאין זה רחוק לומר שהאם מקנחת צואת בנה מוסב גם על הקב"ה שהרי אמרו חז"ל "ואסף איש טהור וכו' " זה הקב"ה שנקרא איש, והוא זה שמטהר את ישראל. וכמ"ש בס' תומר דבורה על המידה "ועובר על פשע", שאין המחילה ע"י שליח אלא על ידו של הקב"ה ממש, כדכתיב כי עימך הסליחה. ומה היא הסליחה ? שהוא רוחץ העוון כדכתיב "אם רחץ ה' את צואת בנות ציון" (מקור), וכ"כ וזרקתי עליכם מים טהורים וגו', והיינו ועובר על פשע </w:t>
      </w:r>
      <w:r w:rsidRPr="00015333">
        <w:rPr>
          <w:rtl/>
        </w:rPr>
        <w:t>–</w:t>
      </w:r>
      <w:r w:rsidRPr="00015333">
        <w:rPr>
          <w:rFonts w:hint="cs"/>
          <w:rtl/>
        </w:rPr>
        <w:t xml:space="preserve"> שולח מימי הרחיצה ועובר ורוחץ הפשע.</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t xml:space="preserve">וזהו שאנו מפטירין בפ' פרה ביחזקאל "וזרקתי עליכם מים טהורים וטהרתם", שהוא מטהר את הטינופת של עם ישראל. </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t>בכל הדורות היה כה"ג מכין את אפר הפרה, ואילו כאן נאמר "ונתתם אותה אל אלעזר" ולא לדורות, שבדורות נעשית ע"י כה"ג או כהן הדיוט, וא"כ מה טעם נלקחה מצווה זו מאהרון כה"ג ?</w:t>
      </w:r>
    </w:p>
    <w:p w:rsidR="00015333" w:rsidRPr="00015333" w:rsidRDefault="00015333" w:rsidP="00015333">
      <w:pPr>
        <w:jc w:val="both"/>
        <w:rPr>
          <w:rFonts w:hint="cs"/>
          <w:rtl/>
        </w:rPr>
      </w:pPr>
      <w:r w:rsidRPr="00015333">
        <w:rPr>
          <w:rFonts w:hint="cs"/>
          <w:rtl/>
        </w:rPr>
        <w:t>בס' באר יוסף הסביר ע"פ הנ"ל שהרי יום זה נטל עשר עטרות, והיה ראשון להורדת שכינה, והיה בו שמחה לפני הקב"ה כיום בריאת שמים וארץ. ודווקא בשעת שמחה זו אירע לאהרון המקרה הנורא של מות בניו. ואמר לו משה "בקרובי אקדש", "וידום אהרון". ואמרו שקיבל שכר על כך שלא הרהר. וע"כ אהרון ניצב במדרגה של לע"ל, שיהיה ה' אחד ושמו אחד, שיברכו על הרעה כמו על הטובה, וכמו שאמרו במד"ר לעיל, שלע"ל יתגלה טעם הפרה, "כי אקח מועד אני מישרים אשפוט", שכאשר יגיע המועד, גם החוקים יהפכו למשפטים. וכמו שאהרון הגיע למדרגה זו ב"וידום אהרון", ע"כ אין לו צורך לימוד מעניין הפרה, וניתנה לאלעזר.</w:t>
      </w:r>
    </w:p>
    <w:p w:rsidR="00015333" w:rsidRPr="00015333" w:rsidRDefault="00015333" w:rsidP="00015333">
      <w:pPr>
        <w:jc w:val="both"/>
        <w:rPr>
          <w:rFonts w:hint="cs"/>
          <w:rtl/>
        </w:rPr>
      </w:pPr>
    </w:p>
    <w:p w:rsidR="00015333" w:rsidRPr="00015333" w:rsidRDefault="00015333" w:rsidP="00015333">
      <w:pPr>
        <w:jc w:val="both"/>
        <w:rPr>
          <w:rFonts w:hint="cs"/>
          <w:rtl/>
        </w:rPr>
      </w:pPr>
      <w:r w:rsidRPr="00015333">
        <w:rPr>
          <w:rFonts w:hint="cs"/>
          <w:rtl/>
        </w:rPr>
        <w:t xml:space="preserve">ואנו מחוייבים וי"א מדאורייתא, לקרוא פ' פרה, אף שאין לנו היום דיני טומאה ומקדש, כדי להפנים בנו שהתורה וההנהגה הם דברים אלוקיים, מעל השכל האנושי, וגם דברים אבסורדיים הם משרתיו, ומי יתן טהור מטמא הלא אחד, שסוף סוף יתברר לעולם, שהכל לטובה. </w:t>
      </w:r>
    </w:p>
    <w:p w:rsidR="00A01450" w:rsidRDefault="00A01450" w:rsidP="002A5FE9">
      <w:pPr>
        <w:jc w:val="both"/>
      </w:pP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D7" w:rsidRDefault="00C66FD7" w:rsidP="002A5FE9">
      <w:pPr>
        <w:spacing w:after="0" w:line="240" w:lineRule="auto"/>
      </w:pPr>
      <w:r>
        <w:separator/>
      </w:r>
    </w:p>
  </w:endnote>
  <w:endnote w:type="continuationSeparator" w:id="0">
    <w:p w:rsidR="00C66FD7" w:rsidRDefault="00C66FD7"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D7" w:rsidRDefault="00C66FD7" w:rsidP="002A5FE9">
      <w:pPr>
        <w:spacing w:after="0" w:line="240" w:lineRule="auto"/>
      </w:pPr>
      <w:r>
        <w:separator/>
      </w:r>
    </w:p>
  </w:footnote>
  <w:footnote w:type="continuationSeparator" w:id="0">
    <w:p w:rsidR="00C66FD7" w:rsidRDefault="00C66FD7"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3"/>
    <w:rsid w:val="00015333"/>
    <w:rsid w:val="002A5FE9"/>
    <w:rsid w:val="00551CD4"/>
    <w:rsid w:val="00650F08"/>
    <w:rsid w:val="00A01450"/>
    <w:rsid w:val="00AD3DE4"/>
    <w:rsid w:val="00C66FD7"/>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15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53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0153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533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15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53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0153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533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6</TotalTime>
  <Pages>3</Pages>
  <Words>1061</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2014-03-26T00:05:00Z</dcterms:created>
  <dcterms:modified xsi:type="dcterms:W3CDTF">2014-03-26T00:11:00Z</dcterms:modified>
</cp:coreProperties>
</file>